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9A0" w:rsidRDefault="005F6E78">
      <w:pPr>
        <w:spacing w:after="0" w:line="360" w:lineRule="auto"/>
        <w:ind w:firstLine="283"/>
        <w:jc w:val="center"/>
        <w:rPr>
          <w:rFonts w:ascii="Times New Roman" w:hAnsi="Times New Roman" w:cs="Times New Roman"/>
          <w:b/>
          <w:bCs/>
          <w:sz w:val="26"/>
          <w:szCs w:val="26"/>
        </w:rPr>
      </w:pPr>
      <w:r>
        <w:rPr>
          <w:rFonts w:ascii="Times New Roman" w:hAnsi="Times New Roman" w:cs="Times New Roman"/>
          <w:b/>
          <w:bCs/>
          <w:sz w:val="26"/>
          <w:szCs w:val="26"/>
        </w:rPr>
        <w:t>MỘT SỐ GIẢI PHÁP NÂNG CAO CHẤT LƯỢNG ĐỘI NGŨ GIẢNG VIÊN GIẢNG DẠY MÔN GIÁO DỤC CHÍNH TRỊ TẠI TRƯỜNG CAO ĐẲNG LÝ TỰ TRỌNG THÀNH PHỐ HỒ CHÍ MINH  TRONG BỐI CẢNH CÁCH MẠNG CÔNG NGHIỆP LẦN THỨ TƯ</w:t>
      </w:r>
    </w:p>
    <w:p w:rsidR="000439A0" w:rsidRDefault="005F6E78">
      <w:pPr>
        <w:widowControl w:val="0"/>
        <w:spacing w:after="0" w:line="360" w:lineRule="auto"/>
        <w:jc w:val="center"/>
        <w:outlineLvl w:val="0"/>
        <w:rPr>
          <w:rFonts w:ascii="Times New Roman" w:eastAsiaTheme="minorEastAsia" w:hAnsi="Times New Roman" w:cs="Times New Roman"/>
          <w:spacing w:val="-4"/>
          <w:w w:val="98"/>
          <w:kern w:val="32"/>
          <w:sz w:val="26"/>
          <w:szCs w:val="26"/>
          <w:lang w:eastAsia="vi-VN"/>
        </w:rPr>
      </w:pPr>
      <w:r>
        <w:rPr>
          <w:rFonts w:ascii="Times New Roman" w:hAnsi="Times New Roman"/>
          <w:b/>
          <w:bCs/>
          <w:sz w:val="26"/>
          <w:szCs w:val="26"/>
        </w:rPr>
        <w:t>S</w:t>
      </w:r>
      <w:r>
        <w:rPr>
          <w:rFonts w:ascii="Times New Roman" w:hAnsi="Times New Roman"/>
          <w:sz w:val="26"/>
          <w:szCs w:val="26"/>
        </w:rPr>
        <w:t>OME SOLUTIONS TO IMPROVE THE QUALITY OF TEACHER TEACHING POLITICAL EDUCATION SUBJECTS AT LY TEU POLICY COLLEGES IN HO CHI MINH CITY IN THE CONTEXT OF THE FIRST INDUSTRIAL REVOLUTION</w:t>
      </w:r>
    </w:p>
    <w:p w:rsidR="000439A0" w:rsidRDefault="000439A0">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0439A0">
        <w:tc>
          <w:tcPr>
            <w:tcW w:w="2552" w:type="dxa"/>
            <w:vAlign w:val="center"/>
          </w:tcPr>
          <w:p w:rsidR="000439A0" w:rsidRDefault="000439A0">
            <w:pPr>
              <w:spacing w:before="40" w:after="0" w:line="240" w:lineRule="auto"/>
              <w:rPr>
                <w:rFonts w:ascii="Times New Roman" w:hAnsi="Times New Roman" w:cs="Times New Roman"/>
                <w:b/>
                <w:spacing w:val="-4"/>
                <w:w w:val="98"/>
                <w:sz w:val="21"/>
                <w:szCs w:val="26"/>
              </w:rPr>
            </w:pPr>
          </w:p>
        </w:tc>
        <w:tc>
          <w:tcPr>
            <w:tcW w:w="281" w:type="dxa"/>
            <w:vMerge w:val="restart"/>
            <w:vAlign w:val="center"/>
          </w:tcPr>
          <w:p w:rsidR="000439A0" w:rsidRDefault="000439A0">
            <w:pPr>
              <w:spacing w:before="40" w:after="0" w:line="240" w:lineRule="auto"/>
              <w:jc w:val="both"/>
              <w:rPr>
                <w:rFonts w:ascii="Times New Roman" w:hAnsi="Times New Roman" w:cs="Times New Roman"/>
                <w:spacing w:val="-4"/>
                <w:w w:val="98"/>
                <w:sz w:val="21"/>
                <w:szCs w:val="26"/>
              </w:rPr>
            </w:pPr>
          </w:p>
        </w:tc>
        <w:tc>
          <w:tcPr>
            <w:tcW w:w="6239" w:type="dxa"/>
            <w:vAlign w:val="center"/>
          </w:tcPr>
          <w:p w:rsidR="000439A0" w:rsidRDefault="005F6E78">
            <w:pPr>
              <w:spacing w:before="40" w:after="0" w:line="240" w:lineRule="auto"/>
              <w:jc w:val="right"/>
              <w:rPr>
                <w:rFonts w:ascii="Times New Roman" w:hAnsi="Times New Roman" w:cs="Times New Roman"/>
                <w:b/>
                <w:bCs/>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b/>
                <w:bCs/>
                <w:spacing w:val="-4"/>
                <w:w w:val="98"/>
                <w:sz w:val="21"/>
                <w:szCs w:val="26"/>
              </w:rPr>
              <w:t>Trường Cao đẳng Lý Tự Trọng TP. HCM</w:t>
            </w:r>
          </w:p>
          <w:p w:rsidR="000439A0" w:rsidRDefault="000439A0">
            <w:pPr>
              <w:spacing w:before="40" w:after="0" w:line="240" w:lineRule="auto"/>
              <w:jc w:val="right"/>
              <w:rPr>
                <w:rFonts w:ascii="Times New Roman" w:hAnsi="Times New Roman" w:cs="Times New Roman"/>
                <w:i/>
                <w:spacing w:val="-4"/>
                <w:w w:val="98"/>
                <w:sz w:val="21"/>
                <w:szCs w:val="26"/>
              </w:rPr>
            </w:pPr>
          </w:p>
        </w:tc>
      </w:tr>
      <w:tr w:rsidR="000439A0">
        <w:tc>
          <w:tcPr>
            <w:tcW w:w="2552" w:type="dxa"/>
            <w:vAlign w:val="center"/>
          </w:tcPr>
          <w:p w:rsidR="000439A0" w:rsidRDefault="000439A0">
            <w:pPr>
              <w:spacing w:after="0" w:line="240" w:lineRule="auto"/>
              <w:ind w:left="29"/>
              <w:jc w:val="both"/>
              <w:rPr>
                <w:rFonts w:ascii="Times New Roman" w:hAnsi="Times New Roman" w:cs="Times New Roman"/>
                <w:i/>
                <w:spacing w:val="-4"/>
                <w:w w:val="98"/>
                <w:sz w:val="21"/>
                <w:szCs w:val="26"/>
              </w:rPr>
            </w:pPr>
          </w:p>
        </w:tc>
        <w:tc>
          <w:tcPr>
            <w:tcW w:w="281" w:type="dxa"/>
            <w:vMerge/>
            <w:vAlign w:val="center"/>
          </w:tcPr>
          <w:p w:rsidR="000439A0" w:rsidRDefault="000439A0">
            <w:pPr>
              <w:spacing w:before="40" w:after="0" w:line="240" w:lineRule="auto"/>
              <w:jc w:val="both"/>
              <w:rPr>
                <w:rFonts w:ascii="Times New Roman" w:hAnsi="Times New Roman" w:cs="Times New Roman"/>
                <w:spacing w:val="-4"/>
                <w:w w:val="98"/>
                <w:sz w:val="21"/>
                <w:szCs w:val="26"/>
              </w:rPr>
            </w:pPr>
          </w:p>
        </w:tc>
        <w:tc>
          <w:tcPr>
            <w:tcW w:w="6239" w:type="dxa"/>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r w:rsidR="000439A0">
        <w:trPr>
          <w:trHeight w:val="198"/>
        </w:trPr>
        <w:tc>
          <w:tcPr>
            <w:tcW w:w="2552" w:type="dxa"/>
            <w:shd w:val="clear" w:color="auto" w:fill="FFFFFF" w:themeFill="background1"/>
          </w:tcPr>
          <w:p w:rsidR="000439A0" w:rsidRDefault="005F6E78">
            <w:pPr>
              <w:spacing w:after="0" w:line="240" w:lineRule="auto"/>
              <w:jc w:val="both"/>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0439A0" w:rsidRDefault="005F6E78">
            <w:pPr>
              <w:spacing w:before="40" w:after="0" w:line="240" w:lineRule="auto"/>
              <w:ind w:firstLine="283"/>
              <w:jc w:val="both"/>
              <w:rPr>
                <w:rFonts w:ascii="Times New Roman" w:hAnsi="Times New Roman" w:cs="Times New Roman"/>
                <w:b/>
                <w:spacing w:val="-4"/>
                <w:w w:val="98"/>
                <w:sz w:val="21"/>
                <w:szCs w:val="26"/>
              </w:rPr>
            </w:pPr>
            <w:r>
              <w:rPr>
                <w:rFonts w:ascii="Times New Roman" w:hAnsi="Times New Roman"/>
                <w:b/>
                <w:i/>
                <w:sz w:val="21"/>
                <w:szCs w:val="21"/>
              </w:rPr>
              <w:t>Tóm tắt:</w:t>
            </w:r>
          </w:p>
        </w:tc>
      </w:tr>
      <w:tr w:rsidR="000439A0">
        <w:trPr>
          <w:trHeight w:val="854"/>
        </w:trPr>
        <w:tc>
          <w:tcPr>
            <w:tcW w:w="2552" w:type="dxa"/>
          </w:tcPr>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 Industrial Revolution 4.0, </w:t>
            </w:r>
            <w:r>
              <w:rPr>
                <w:rFonts w:ascii="Times New Roman" w:hAnsi="Times New Roman"/>
                <w:i/>
                <w:sz w:val="21"/>
                <w:szCs w:val="21"/>
              </w:rPr>
              <w:t xml:space="preserve">solution, </w:t>
            </w:r>
            <w:r>
              <w:rPr>
                <w:rFonts w:ascii="Times New Roman" w:hAnsi="Times New Roman" w:cs="Times New Roman"/>
                <w:i/>
                <w:sz w:val="21"/>
                <w:szCs w:val="21"/>
              </w:rPr>
              <w:t xml:space="preserve"> </w:t>
            </w:r>
            <w:r>
              <w:rPr>
                <w:rFonts w:ascii="Times New Roman" w:hAnsi="Times New Roman"/>
                <w:i/>
                <w:sz w:val="21"/>
                <w:szCs w:val="21"/>
              </w:rPr>
              <w:t>improve quality, political education teacher.</w:t>
            </w:r>
            <w:r>
              <w:rPr>
                <w:rFonts w:ascii="Times New Roman" w:hAnsi="Times New Roman" w:cs="Times New Roman"/>
                <w:i/>
                <w:sz w:val="21"/>
                <w:szCs w:val="21"/>
              </w:rPr>
              <w:t xml:space="preserve"> </w:t>
            </w:r>
          </w:p>
          <w:p w:rsidR="000439A0" w:rsidRDefault="000439A0">
            <w:pPr>
              <w:spacing w:before="40" w:after="0" w:line="240" w:lineRule="auto"/>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0439A0" w:rsidRDefault="005F6E78">
            <w:pPr>
              <w:spacing w:before="40" w:after="0" w:line="240" w:lineRule="auto"/>
              <w:ind w:firstLine="283"/>
              <w:jc w:val="both"/>
              <w:rPr>
                <w:rFonts w:ascii="Times New Roman" w:hAnsi="Times New Roman"/>
                <w:bCs/>
                <w:i/>
                <w:sz w:val="21"/>
                <w:szCs w:val="21"/>
              </w:rPr>
            </w:pPr>
            <w:r>
              <w:rPr>
                <w:rFonts w:ascii="Times New Roman" w:hAnsi="Times New Roman"/>
                <w:bCs/>
                <w:i/>
                <w:sz w:val="21"/>
                <w:szCs w:val="21"/>
              </w:rPr>
              <w:t>Nhân loại đã trải qua ba cuộc cách mạng công nghiệp trong hơn hai trăm năm và đang đứng trước ngưỡng cửa của cuộc cách mạng công nghiệp 4.0. Cuộc cách mạng công nghiệp 4.0 kết hợp các công nghệ với nhau diễn ra trên 3 lĩnh vực chính: Công nghệ sinh học, Kỹ thuật số và Vật lý. Cuộc cách mạng này với những bước đột phá mạnh mẽ về quy mô, tốc độ và sức lan tỏa trên phạm vi toàn cầu. Cuộc cách mạng công nghiệp 4.0 đã và đang đặt ra nhiều cơ hội và thách thức cho nền giáo dục Việt Nam, trong đó có đội ngũ giảng viên ngành Giáo dục Chính trị tại Trường Cao đẳng Lý Tự Trọng TP. Hồ Chí Minh</w:t>
            </w:r>
          </w:p>
          <w:p w:rsidR="000439A0" w:rsidRDefault="005F6E78">
            <w:pPr>
              <w:spacing w:after="0" w:line="240" w:lineRule="auto"/>
              <w:ind w:firstLine="283"/>
              <w:jc w:val="both"/>
              <w:rPr>
                <w:rFonts w:ascii="Times New Roman" w:hAnsi="Times New Roman" w:cs="Times New Roman"/>
                <w:b/>
                <w:i/>
                <w:sz w:val="21"/>
                <w:szCs w:val="21"/>
              </w:rPr>
            </w:pPr>
            <w:r>
              <w:rPr>
                <w:rFonts w:ascii="Times New Roman" w:hAnsi="Times New Roman" w:cs="Times New Roman"/>
                <w:b/>
                <w:i/>
                <w:sz w:val="21"/>
                <w:szCs w:val="21"/>
              </w:rPr>
              <w:t>Summary</w:t>
            </w:r>
          </w:p>
          <w:p w:rsidR="000439A0" w:rsidRDefault="005F6E78">
            <w:pPr>
              <w:spacing w:after="0" w:line="240" w:lineRule="auto"/>
              <w:ind w:firstLine="283"/>
              <w:jc w:val="both"/>
              <w:rPr>
                <w:rFonts w:ascii="Times New Roman" w:hAnsi="Times New Roman"/>
                <w:i/>
                <w:sz w:val="21"/>
                <w:szCs w:val="21"/>
              </w:rPr>
            </w:pPr>
            <w:r>
              <w:rPr>
                <w:rFonts w:ascii="Times New Roman" w:hAnsi="Times New Roman" w:cs="Times New Roman"/>
                <w:i/>
                <w:sz w:val="21"/>
                <w:szCs w:val="21"/>
              </w:rPr>
              <w:t xml:space="preserve"> </w:t>
            </w:r>
            <w:r>
              <w:rPr>
                <w:rFonts w:ascii="Times New Roman" w:hAnsi="Times New Roman"/>
                <w:i/>
                <w:sz w:val="21"/>
                <w:szCs w:val="21"/>
              </w:rPr>
              <w:t>Humanity has experienced three industrial revolutions in more than two hundred years and is standing on the threshold of industrial revolution 4.0. The industrial revolution 4.0 that combines technologies together takes place in 3 main areas: Biotechnology, Digital and Physics. This revolution with strong breakthroughs in scale, speed and spread on a global scale. The Industrial Revolution 4.0 has been posing many opportunities and challenges for Vietnamese education, including the teaching staff of Political Education at Ly Tu Trong College in Ho Chi Minh City.</w:t>
            </w:r>
          </w:p>
          <w:p w:rsidR="000439A0" w:rsidRDefault="000439A0">
            <w:pPr>
              <w:spacing w:before="40" w:after="0" w:line="240" w:lineRule="auto"/>
              <w:ind w:firstLine="283"/>
              <w:jc w:val="both"/>
              <w:rPr>
                <w:rFonts w:ascii="Times New Roman" w:hAnsi="Times New Roman"/>
                <w:bCs/>
                <w:i/>
                <w:sz w:val="21"/>
                <w:szCs w:val="21"/>
              </w:rPr>
            </w:pPr>
          </w:p>
        </w:tc>
      </w:tr>
      <w:tr w:rsidR="000439A0">
        <w:trPr>
          <w:trHeight w:val="263"/>
        </w:trPr>
        <w:tc>
          <w:tcPr>
            <w:tcW w:w="2552" w:type="dxa"/>
            <w:shd w:val="clear" w:color="auto" w:fill="FFFFFF" w:themeFill="background1"/>
          </w:tcPr>
          <w:p w:rsidR="000439A0" w:rsidRDefault="000439A0">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r w:rsidR="000439A0">
        <w:trPr>
          <w:trHeight w:val="706"/>
        </w:trPr>
        <w:tc>
          <w:tcPr>
            <w:tcW w:w="2552" w:type="dxa"/>
          </w:tcPr>
          <w:p w:rsidR="000439A0" w:rsidRDefault="000439A0">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bl>
    <w:p w:rsidR="000439A0" w:rsidRDefault="000439A0">
      <w:pPr>
        <w:spacing w:before="40" w:after="0" w:line="240" w:lineRule="auto"/>
        <w:jc w:val="center"/>
        <w:rPr>
          <w:rFonts w:ascii="Times New Roman" w:hAnsi="Times New Roman" w:cs="Times New Roman"/>
          <w:i/>
          <w:spacing w:val="-4"/>
          <w:w w:val="98"/>
          <w:sz w:val="21"/>
          <w:szCs w:val="26"/>
        </w:rPr>
      </w:pPr>
    </w:p>
    <w:p w:rsidR="000439A0" w:rsidRDefault="005F6E78">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1. Mở đầu</w:t>
      </w:r>
    </w:p>
    <w:p w:rsidR="000439A0" w:rsidRDefault="005F6E78">
      <w:pPr>
        <w:spacing w:after="0" w:line="240" w:lineRule="auto"/>
        <w:ind w:firstLine="283"/>
        <w:jc w:val="both"/>
        <w:rPr>
          <w:rFonts w:ascii="Times New Roman" w:hAnsi="Times New Roman" w:cs="Times New Roman"/>
          <w:b/>
          <w:spacing w:val="-4"/>
          <w:w w:val="98"/>
          <w:sz w:val="21"/>
          <w:szCs w:val="26"/>
        </w:rPr>
      </w:pPr>
      <w:r>
        <w:rPr>
          <w:rFonts w:ascii="Times New Roman" w:hAnsi="Times New Roman" w:cs="Times New Roman"/>
          <w:sz w:val="21"/>
          <w:szCs w:val="21"/>
        </w:rPr>
        <w:t xml:space="preserve">Hiện nay, thế giới đang trong giai đoạn của cuộc cách mạng công nghiệp lần thứ 4 (CMCN 4.0) với trung tâm là sự phát triển của trí tuệ nhân tạo, internet kết nối vạn vật, rô-bốt, công nghệ na-nô, công nghệ sinh học,… Cách mạng công nghiệp lần thứ Tư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Đây chính là thách thức trong việc đào tạo nguồn nhân lực theo nhu cầu của thời đại. Trong đó, có tác động trực tiếp đến việc nâng cao chất lượng đội ngũ giảng viên ở các trường cao đẳng, đại học nói </w:t>
      </w:r>
      <w:r>
        <w:rPr>
          <w:rFonts w:ascii="Times New Roman" w:hAnsi="Times New Roman" w:cs="Times New Roman"/>
          <w:sz w:val="21"/>
          <w:szCs w:val="21"/>
        </w:rPr>
        <w:lastRenderedPageBreak/>
        <w:t>chung và đội ngũ giảng viên giảng dạy môn Giáo dục chính trị tại trường Cao đẳng Lý Tự Trọng thành phố Hồ Chí Minh nói riêng đáp ứng yêu cầu mới trong bối cảnh CMCN 4.0.</w:t>
      </w:r>
    </w:p>
    <w:p w:rsidR="000439A0" w:rsidRDefault="005F6E78">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 Kết quả nghiên cứu</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2.1. Cách mạng công nghiệp 4.0</w:t>
      </w:r>
      <w:r>
        <w:rPr>
          <w:b/>
          <w:sz w:val="21"/>
          <w:szCs w:val="21"/>
        </w:rPr>
        <w:t xml:space="preserve"> </w:t>
      </w:r>
      <w:r>
        <w:rPr>
          <w:rFonts w:ascii="Times New Roman" w:hAnsi="Times New Roman" w:cs="Times New Roman"/>
          <w:b/>
          <w:sz w:val="21"/>
          <w:szCs w:val="21"/>
        </w:rPr>
        <w:t xml:space="preserve"> và những yêu cầu, thách thức mới đối với đội ngũ giảng viên</w:t>
      </w:r>
      <w:r>
        <w:rPr>
          <w:sz w:val="21"/>
          <w:szCs w:val="21"/>
        </w:rPr>
        <w:t xml:space="preserve"> </w:t>
      </w:r>
      <w:r>
        <w:rPr>
          <w:rFonts w:ascii="Times New Roman" w:hAnsi="Times New Roman" w:cs="Times New Roman"/>
          <w:b/>
          <w:sz w:val="21"/>
          <w:szCs w:val="21"/>
        </w:rPr>
        <w:t xml:space="preserve">giảng dạy môn Giáo dục chính trị tại trường Cao đẳng Lý Tự Trọng thành phố Hồ Chí Minh.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Khái niệm Công nghiệp 4.0 hay nhà máy thông minh lần đầu tiên được đưa ra tại Hội chợ công nghiệp Hannover tại Cộng hòa Liên bang Đức vào năm 2011. Năm 2013, cụm từ “Công nghiệp 4.0” (Industrie 4.0) xuất phát từ một báo cáo của Chính phủ Đức nhằm nói tới chiến lược công nghệ cao, điện toán hóa ngành sản xuất mà không cần sự tham gia của con người. Công nghiệp 4.0 nhằm thông minh hóa quá trình sản xuất và quản lý trong ngành công nghiệp chế tạo. Sự ra đời của Công nghiệp 4.0 tại Đức đã thúc đẩy các nước tiên tiến khác như Mỹ, Nhật, Trung Quốc, Ấn Độ thúc đẩy phát triển các chương trình tương tự nhằm duy trì lợi thế cạnh tranh của mình.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Cuộc Cách mạng công nghiệp 4.0 dựa trên nền tảng của các lĩnh vực khoa học - công nghệ hiện đại và trong môi trường toàn cầu hóa, thế giới phẳng với các mũi nhọn về công nghệ số, vật liệu thông minh; trí tuệ nhân tạo... đã và đang phát triển mạnh mẽ với các đặc trưng cơ bản sau: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tính chất và quy mô phát triển: Nếu như trước kia, các cuộc cánh mạng công nghiệp chủ yếu tạo sự thúc đẩy về lực lượng sản xuất (công cụ, phương thức sản xuất, năng suất lao động) mang tính chất cục bộ ở một quốc gia, nhóm quốc gia hoặc một vài châu lục... thì ngày nay, cuộc Cách mạng công nghiệp 4.0 đã và đang diễn ra đồng thời trên phạm vi toàn cầu với tốc độ phát triển nhanh chóng, phá vỡ mọi giới hạn hữu hình hay vô hình. Tất cả các quốc gia dù nhỏ hay lớn; dù nghèo hay giàu; dù phát triển hay đang phát triển đều chịu sự tác động mạnh mẽ và đứng trước nhiều cơ hội phát triển nhảy vọt và đồng thời với nhiều thách thức mới. Những nước mới phát triển sau như Nhật Bản, Hàn Quốc; Singapore... đã tỏ ra có sức vượt trội so với các cường quốc Âu - Mỹ ở nhiều lĩnh vực khoa học và công nghệ mũi nhọn; sản xuất - dịch vụ công nghiệp trong cuộc cách mạng công nghiệp lần thứ tư.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các sản phẩm và dịch vụ xã hội: Với những sản phẩm công nghệ cao trong các lĩnh vực của sản xuất và đời sống xã hội như: Robot thông minh; Máy in 3D; Điện thoại thông minh; Vật liệu Nano; Mạng Intrenet; Máy tính thế hệ 5; Mạng thông tin và truyền thông toàn cầu; TV tích hợp màn hình cong và mỏng... Các sản phẩm và dịch vụ trong cuộc Cách mạng công nghiệp 4.0 đã thay đổi toàn diện phương thức sản xuất - dịch vụ và tiêu dùng. Lối sống trong mọi tầng lớp xã hộivới hàm lượng chất xảm ngày càng cao (30-60% giá thành sản phẩm); với tiện ích ngày càng mở rộng và giá thành sản phẩm và dịch vụ ngày càng rẻ hơn. Đặc biệt, chu kỳ sống của một sản phẩm ngày càng rút ngắn (từ vài năm xuống vài tháng). Cuộc Cách mạng công nghiệp 4.0 thực sự đã và đang tác động lan tỏa đến các mặt của đời sống xã hội (chính trị; kinh tế, văn hóa, lối sống; giáo dục...) với sự hình thành Chính phủ điện tử; thành phố thông minh; E-Learning...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cơ cấu nhân lực xã hội: Các cuộc cánh mạng công nghiệp trước đây (cuộc cách mạng công nghiệp 1, 2, 3) chủ yếu tạo ra sự phân chia cơ cấu lực lượng lao động xã hội theo các lĩnh vực nông nghiệp, công nghiệp và dịch vụ cùng với các cấp trình độ đào tạo về chuyên môn - nghiệp vụ (trung cấp, cao đẳng, đại học...) thì cuộc Cách mạng công nghiệp 4.0 này đã tạo cơ sở đưa đến một loại hình phân chia cơ cấu nhân lực mới với hai thành phần cơ bản: Nhân lực thừa hành (hành chính; vận chuyển; bảo trì; sản xuất theo dây truyền) và nhân lực sáng tạo (nhà sáng chế, thiết kế; nghiên cứu khoa học và công nghệ R&amp;D; thử nghiệm; sáng tạo nghệ thuật...). Cơ cấu ngành nghề trong đào tạo nhân lực KH&amp;CN đã có những thay đổi căn bản. Ranh giới các ngành công nghiệp truyền thống như: luyện kim; cơ khí chế tạo máy; điện lực, điện tử... ngày càng bị xóa mờ, được thay thế bằng các ngành, chuyên ngành đào tạo có tính tích hợp, liên ngành cao như khoa học vật liệu; khoa học máy tính; cơ-điện tử; công nghệ môi trường.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Với những đặc trưng cơ bản nêu trên đã và đang tác động tới Việt Nam, một nước đang phát triển với thành phần lao động đơn giản khoảng 70% tổng số lao động xã hội hiện nay, Việt Nam muốn trở thành một nước công nghiệp hiện đại, thì nhân lực được đào tạo có chất lượng cao, có trình độ, ngành nghề hợp lý là nhân tố đóng vai trò rất quan trọng và chi phối sự phát triển nền kinh tế một đất nước.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Cách mạng công nghiệp 4.0 đã đặt ra đối với các trường cao đẳng trong hệ thống giáo dục nghề nghiệp nhiều yêu cầu mới, thách thức mới, trong đó có đội ngũ giảng viên giảng dạy môn Giáo dục chính trị</w:t>
      </w:r>
      <w:r>
        <w:rPr>
          <w:sz w:val="21"/>
          <w:szCs w:val="21"/>
        </w:rPr>
        <w:t xml:space="preserve"> </w:t>
      </w:r>
      <w:r>
        <w:rPr>
          <w:rFonts w:ascii="Times New Roman" w:hAnsi="Times New Roman" w:cs="Times New Roman"/>
          <w:sz w:val="21"/>
          <w:szCs w:val="21"/>
        </w:rPr>
        <w:t xml:space="preserve">tại khoa Lý luận chính trị trường Cao đẳng Lý Tự Trọng thành phố Hồ Chí Minh. Trong bối cảnh của cuộc cách mạng này, bản thân các trường cao đẳng có thể chưa dự đoán hết được những kĩ năng mà thị trường cần. Hoạt động </w:t>
      </w:r>
      <w:r>
        <w:rPr>
          <w:rFonts w:ascii="Times New Roman" w:hAnsi="Times New Roman" w:cs="Times New Roman"/>
          <w:sz w:val="21"/>
          <w:szCs w:val="21"/>
        </w:rPr>
        <w:lastRenderedPageBreak/>
        <w:t xml:space="preserve">đào tạo và nghiên cứu của các trường cao đẳng chủ yếu vẫn theo phương pháp truyền thống sẽ phải đối mặt với những thay đổi mạnh mẽ cả về tư duy, cơ cấu kiến thức, kĩ năng và phương pháp. Với sự thay đổi nhanh chóng của công nghệ, đòi hỏi giáo dục phải đem lại cho người học cả tư duy những kiến thức, kĩ năng mới, khả năng sáng tạo, thích ứng với thách thức và những yêu cầu mới mà các phương pháp giáo dục truyền thống chưa thể đáp ứng.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Trong cách mạng công nghiệp 4.0, đội ngũ giảng viên các trường Cao đẳng trong hệ thống giáo dục nghề nghiệp nói chung và đội ngũ giảng viên giảng dạy môn Giáo dục chính trị tại  trường Cao đẳng Lý Tự Trọng thành phố Hồ Chí Minh nói riêng phải dạy học dựa trên nhu cầu của người học và biết cách tổ chức cho người học thực hiện bằng được những nhu cầu bản thân. Chính vì vậy, đòi hỏi đội ngũ giảng viên giảng dạy môn Giáo dục chính trị tại  trường Cao đẳng Lý Tự Trọng thành phố Hồ Chí Minh phải luôn năng động và sáng tạo, phải thay đổi tư tưởng trong cách dạy, không chỉ là một người truyền đạt kiến thức mà còn phải giúp người học phát huy được khả năng tự nghiên cứu, tự học của bản thân.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Trước tác động của cuộc cách mạng công nghiệp 4.0, đội ngũ giảng viên giảng dạy môn Giáo dục chính trị tại trường Cao đẳng Lý Tự Trọng thành phố Hồ Chí Minh đang phải đối diện với những yêu cầu mới, thách thức mới cho sự phát triển. Cụ thể:</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nhất</w:t>
      </w:r>
      <w:r>
        <w:rPr>
          <w:rFonts w:ascii="Times New Roman" w:hAnsi="Times New Roman" w:cs="Times New Roman"/>
          <w:sz w:val="21"/>
          <w:szCs w:val="21"/>
        </w:rPr>
        <w:t>, đội ngũ giảng viên giảng dạy môn Giáo dục chính trị tại trường Cao đẳng Lý Tự Trọng thành phố Hồ Chí Minh cần phải có trình độ chuyên môn cao, hiểu biết sâu rộng trên nhiều lĩnh vực.</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Dưới tác động của cuộc Cách mạng công nghiệp 4.0 các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cao đẳng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Điều đó đòi hỏi đội ngũ giảng viên giảng dạy môn Giáo dục chính trị tại trường Cao đẳng Lý Tự Trọng thành phố Hồ Chí Minh cần phải có trình độ chuyên môn cao và hiểu biết sâu rộng trên nhiều lĩnh vực để giúp cho người học có thể phát triển về năng lực cá nhân, thích ứng được môi trường làm việc thường xuyên thay đổi.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hai,</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khả năng thích ứng nhanh với sự thay đổi mọi hoạt động của nhà trường.</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Nhằm đáp ứng yêu cầu về nguồn nhân lực chất lượng cao trong bối cảnh Cách mạng công nghiệp 4.0, các giảng viên phải thay đổi các hoạt động đào tạo như đổi mới chương trình, giáo trình, phương pháp giảng dạy, quản lý sinh viên, phương pháp kiểm tra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ba,</w:t>
      </w:r>
      <w:r>
        <w:rPr>
          <w:rFonts w:ascii="Times New Roman" w:hAnsi="Times New Roman" w:cs="Times New Roman"/>
          <w:sz w:val="21"/>
          <w:szCs w:val="21"/>
        </w:rPr>
        <w:t xml:space="preserve"> đội ngũ giảng giảng dạy môn Giáo dục chính trị tại trường Cao đẳng Lý Tự Trọng thành phố Hồ Chí Minh cần giỏi về ngoại ngữ và công nghệ thông tin.</w:t>
      </w:r>
    </w:p>
    <w:p w:rsidR="000439A0" w:rsidRDefault="005F6E78">
      <w:pPr>
        <w:spacing w:after="0" w:line="240" w:lineRule="auto"/>
        <w:ind w:firstLine="283"/>
        <w:jc w:val="both"/>
        <w:rPr>
          <w:rFonts w:ascii="Times New Roman" w:eastAsia="Calibri" w:hAnsi="Times New Roman" w:cs="Times New Roman"/>
          <w:spacing w:val="-6"/>
          <w:sz w:val="21"/>
          <w:szCs w:val="21"/>
        </w:rPr>
      </w:pPr>
      <w:r>
        <w:rPr>
          <w:rFonts w:ascii="Times New Roman" w:eastAsia="Calibri" w:hAnsi="Times New Roman" w:cs="Times New Roman"/>
          <w:spacing w:val="-6"/>
          <w:sz w:val="21"/>
          <w:szCs w:val="21"/>
        </w:rPr>
        <w:t>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cường/thực tế ảo (AR/VR) được sử dụng rộng rãi, giúp người học trải nghiệm và rèn luyện kỹ năng. Nhờ ứng dụng các công nghệ AI, Big Data và IoT,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lastRenderedPageBreak/>
        <w:t>Thứ tư,</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thay đổi phương pháp giảng dạy.</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 Đồng thời giảng viên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với các hoạt động thực hành.</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năm,</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năng lực sử dụng các phương tiện công nghệ cao.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Giảng viên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Các hình thức học trực tuyến E-Learning: học thông qua các thiết bị điện tử; Mobile Learning: Học thông qua các thiết bị di động; Học online thông qua các phần mềm: Zoom meeting, Google meet, Microsoft Teams; Blended-learning: mô hình học kết hợp giữa học trên lớp và học online; cloud computing: sử dụng công nghệ điện toán đám mây cần được đẩy mạnh áp dụng.</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2.2. Thực trạng đội ngũ giảng viên giảng dạy môn Giáo dục chính trị tại trường Cao đẳng Lý Tự Trọng thành phố Hồ Chí Minh hiện nay.</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Chất lượng đội ngũ giảng viên giảng dạy môn Giáo dục chính trị tại trường Cao đẳng Lý Tự Trọng thành phố Hồ Chí Minh hiện nay là tương đối hợp lý. Tất cả các giảng viên đều là giảng viên cơ hữu, rất thuận lợi cho việc bố trí, sắp xếp, phân công công việc và quản lý nhân lực. Các giảng viên hầu hết ở độ tuổi còn trẻ, do đó rất tích cực và năng động trong việc học tập nâng cao trình độ và đổi mới phương pháp giảng dạy cũng như dễ thích ứng với yêu cầu ngày càng cao của xã hội và cách mạng công nghiệp 4.0. Trong những năm qua, các giảng viên không ngừng nỗ lực học tập để nâng cao trình độ chuyên môn cũng như trình độ tin học, ngoại ngữ, lý luận chính trị và nghiên cứu khoa học. Các giảng viên tích cực tham gia hội thảo và viết bài hội thảo của khoa và trường cũng như tích cực viết báo đăng trên các tạp chí trong nước và quốc tế. Nhìn chung đội ngũ giảng viên giảng dạy môn Giáo dục chính trị tại trường Cao đẳng Lý Tự Trọng thành phố Hồ Chí Minh hiện nay là tương đối hợp lý về  cơ cấu và đáp ứng về chất lượng đào tạo.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Về số lượng đội ngũ giảng viên giảng dạy môn Giáo dục chính trị tại trường Cao đẳng Lý Tự Trọng thành phố Hồ Chí Minh năm học 2020- 2021 gồm 13 giảng viên. Trong đó có 11 nữ và 2 nam. Độ tuổi trung bình của các giảng viên hầu hết còn trẻ (gần 40 tuổi), có 1 giảng viên lớn tuổi (56 tuổi)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chất lượng đội ngũ giảng viên giảng dạy môn Giáo dục chính trị tại trường Cao đẳng Lý Tự Trọng thành phố Hồ Chí Minh năm học 2020- 2021: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chuyên môn: Trình độ tiến sĩ 1/13, chiếm 7,69%; trình độ thạc sĩ 12/13, chiếm 92,3%; trình độ đại học 1/13, chiếm 7,69%.</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ngoại ngữ và tin học: Về ngoại ngữ: 5/13 giảng viên có văn bằng 2 ngoại ngữ (tiếng anh), chiếm 38,46%; còn lại các giảng viên đều có chứng chỉ A2 hoặc chứng chỉ B tiếng anh và một số giảng viên đang tiếp tục học để nâng cao trình độ ngoại ngữ. Về tin học: Tất cả các giảng viên đều có chứng chỉ tin học cơ bản ứng dụng, 3/13 giảng viên đã có bằng trung cấp tin học, chiếm 23,07%, một số giảng viên đang đăng kí học lớp trung cấp tin học.</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lý luận chính trị: hiện tại có 7/13 giảng  viên có trình độ trung cấp chính trị, chiếm  53,84%, 3/13 giảng viên đang theo học học lớp trung cấp lý luận chính trị, chiếm 23,07%, 3 giảng viên trình độ sơ cấp lý luận chính trị, chiếm 23,07%.</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đánh giá xếp loại chất lượng viên chức- người lao động năm học 2020- 2021: 9/13 giảng viên xếp loại xuất sắc, chiếm  69,24%; 4/13 giảng viên xếp loại tốt, chiếm 30,76%.</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Tuy nhiên từ thực trang nêu trên, tôi nhận thấy còn tồn tại một số hạn chế cần được khắc phục để có thể ngày càng nâng cao hơn nữa chất lượng của đội ngũ giảng viên giảng dạy môn Giáo dục chính trị tại trường Cao đẳng Lý Tự Trọng như sau: Thứ nhất: số lượng giảng viên đạt trình độ tiến sĩ còn quá ít so với tổng số giảng viên của khoa và vẫn còn giảng viên còn ở trình độ đại học do đó trong thời gian tới cần nâng cao hơn </w:t>
      </w:r>
      <w:r>
        <w:rPr>
          <w:rFonts w:ascii="Times New Roman" w:hAnsi="Times New Roman" w:cs="Times New Roman"/>
          <w:sz w:val="21"/>
          <w:szCs w:val="21"/>
        </w:rPr>
        <w:lastRenderedPageBreak/>
        <w:t>nữa trình độ chuyên môn của đội ngũ giảng viên; Thứ hai: do đặc thù của bộ môn nên các giảng viên giảng dạy môn Giáo dục chính trị còn hạn chế trong việc tiến hành các công trình nghiên cứu khoa học có sản phẩm hiện vật mà chủ yếu là các sản phầm nghiên cứu dưới dạng các bài báo, bài hội thảo khoa học trong nước, các bài báo đăng trên tạp chí quốc tế còn hạn chế, do đó trong thời gian tới cũng cần nâng cao trình độ nghiên cứu khoa học cho giảng viên; Thứ ba: Mức độ ứng dụng tin học và ngoại ngữ của giảng viên giảng dạy Giáo dục chính trị vẫn còn hạn chế, chủ yếu còn ở mức độ cơ bản dẫn đến hiệu quả chưa cao trong viêc thiết kế bài giảng cũng như đọc các tài liệu tham khảo bằng tiếng nước ngoài phục vụ cho việc giảng dạy, do đó giảng viên cũng cần được bồi dưỡng, nâng cao trình độ tin học và ngoại ngữ trong thời gian tới để đáp ứng yêu cầu cách mạng 4.0. Thứ tư: Trong khoảng 10 năm gần đây, các giảng viên giảng dạy môn Giáo dục chính trị không được đi tập huấn chuyên môn hàng năm để có thể cập nhật kiến thức chuyên môn cũng như phương pháp giảng dạy một cách nhanh và chính xác nhất.</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Hiện nay, nhà trường luôn có chính sách khuyến khích và động viên các giảng viên học tập để nâng cao trình độ chuyên môn cũng như trình độ tin học, ngoại ngữ, lý luận chính trị bằng nhiều hình thức khác nhau như: tạo điều kiện xếp thời khóa biểu thuận lợi với lịch học của giảng viên, hỗ trợ kinh phí học tập cho giảng viên sau khi nhận bằng hoặc chứng chỉ.</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2.3. Giải pháp phát triển đội ngũ giảng viên giảng dạy môn Giáo dục chính trị tại trường Cao đẳng Lý Tự Trọng thành phố Hồ Chí Minh trong bối cảnh của cuộc cách mạng công nghiệp 4.0</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 nâng cao chất lượng đội ngũ giảng viên giảng dạy môn Giáo dục chính trị tại trường Cao đẳng Lý Tự Trọng thành phố Hồ Chí Minh: </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nhất, xây dựng chương trình, kế hoạch phát triển đội ngũ giảng viên hợp lý hơn, hiệu quả hơn.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Lập kế hoạch, xây dựng chương trình phát triển đội ngũ giảng viên cần có cái nhìn tổng thể, toàn diện. Quy hoạch, kế hoạch công tác phát triển đội ngũ giảng viên phải có tầm nhìn xa, xuất phát từ yêu cầu nhiệm vụ giáo dục - đào tạo và thực trạng đội ngũ giảng viên để xây dựng và thực hiện quy hoạch tổng thể và quy hoạch tạo nguồn, xây dựng quy hoạch, kế hoạch tổng thể dài hạn kết hợp với kế hoạch hàng năm bảo đảm cho công tác phát triển đội ngũ giảng viên đủ về số lượng, cao về trình độ, đáp ứng được cả nhiệm vụ trước mắt và lâu dài. Phát triển đội ngũ giảng viên cần được tiến hành bắt đầu từ việc dự báo, xác định quy mô, ngành nghề đào tạo, cơ cấu nguồn nhân lực, phân tích hiện trạng đội ngũ. Từ đó, xác định nhu cầu cần bổ sung, chuyển đổi và tiến hành các biện pháp để phát triển nâng cao chất lượng đội ngũ giảng viên. Hàng năm có kế hoạch đào tạo, bồi dưỡng, kèm cặp những giảng viên trẻ để họ nhanh chóng trưởng thành và giúp đỡ những giảng viên lớn tuổi đặc biệt về công nghệ mới để họ hoàn thành tốt nhiệm vụ. Gắn nhiệm vụ nghiên cứu khoa học với việc bòi dưỡng đào tạo giảng viên.</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hai, xây dựng kế hoạch sử dụng và đánh giá đội ngũ giảng viên hiệu quả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Cần có phương pháp sử dụng tốt đội ngũ giảng viên, nắm bắt được những ưu, nhược điểm của từng cá nhân trong đội ngũ giảng viên, “sử dụng đúng người, đúng việc” sẽ phát huy mặt mạnh của mỗi cá nhân, giúp cho mỗi giảng viên có sự tự tin vào chính khả năng của mình, giúp cho họ có được bậc thang nhu cầu cao nhất. Ngoài ra, hàng năm các trường phải rà soát đánh giá giảng viên, căn cứ các tiêu chuẩn về trình độ, về phẩm chất đạo đức, năng lực chuyên môn, năng lực nghiên cứu khoa học, chất lượng hiệu quả công việc thực tế, có tính đến môi trường và điều kiện công tác; mức độ tín nhiệm của tập thể đơn vị công tác để từ đó có kế hoạch điều chỉnh cho phù hợp với từng vị trí, chức năng nhiệm vụ của mỗi giảng viên, tạo nên sự đồng bộ, hợp lý trong tập thể (trên cơ sở Thông tư số 03/2018/TT-BLĐTBXH ngày 15/6/2018 của Bộ Lao động Thương binh và Xã hội). Sau khi đánh giá cũng cần cho giảng viên được biết kết quả để học thấy được ưu điểm và hạn chế, thấy được những việc mình làm chưa hiệu quả để cố gắng hoàn thiện bản thân.</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ba, chú trọng việc xây dựng đội ngũ giảng viên có trình độ chuyên môn nghiệp vụ cao.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Xuất phát từ thực tiễn về trình độ chuyên môn, tin học, ngoại ngữ của giảng viên giảng dạy môn Giáo dục chính trị tại trường hiện nay, xây dựng được đội ngũ giảng viên có trình độ chuyên môn cao, đầu đàn và sự kế cận, kế tiếp vững chắc các thế hệ giảng viên nhằm phát triển, nâng cao chất lượng đội ngũ giảng viên, nâng cao chất lượng giáo dục - đào tạo tạo nên thương hiệu có uy tín của trường là hết sức cần thiết. Xây dựng đội ngũ giảng viên có trình độ chuyên môn cao, đầu đàn là lực lượng đầu tàu về chất lượng, đội ngũ đủ sức đảm nhiệm những nhiệm vụ khó khăn, yêu cầu cao, thúc đẩy sự phát triển của trường. Đội ngũ giảng </w:t>
      </w:r>
      <w:r>
        <w:rPr>
          <w:rFonts w:ascii="Times New Roman" w:hAnsi="Times New Roman" w:cs="Times New Roman"/>
          <w:sz w:val="21"/>
          <w:szCs w:val="21"/>
        </w:rPr>
        <w:lastRenderedPageBreak/>
        <w:t xml:space="preserve">viên có trình độ chuyên môn cao, đầu đàn là đội ngũ luôn đi đầu trong công tác giảng dạy có trình độ năng lực chuyên môn cao, trình độ sư phạm tốt; mẫu mực trong phong cách, phẩm chất đạo đức; đầu đàn về nghiên cứu khoa học, có nhiều sáng chế, sáng kiến cải tiến kỹ thuật. Phấn đấu trong một vài năm tới sẽ có khoảng 40% giảng viên giảng dạy bộ môn Giáo dục chính trị theo học trình độ tiến sĩ, 80% giảng viên có trình độ văn bằng 2 ngoại ngữ hoặc chứng chỉ ngoại ngữ 350 Toeic hoặc tương đương trở lên, 100% giảng viên đạt chuẩn tin học IC3. Nhà trường cần có kế hoạch rà soát trình độ của giảng viên để từ đó lên kế hoạch đào tạo bồi dưỡng cho hợp lý. Cần duy trì thường xuyên và định kì các hoạt động dự giờ, thao giảng, hội giảng, thi giảng viên dạy giỏi, cũng như các hoạt động sinh hoạt chuyên môn, nghiên cứu khoa học, hội thảo chuyên đề nhằm nâng cao trình độ cho giảng viên. Cần có biện pháp ưu ái và chính sách hỗ trợ cả về kinh tế, thời gian và tinh thần cho các giảng viên tích cực nâng cao trình độ chuyên môn. </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tư, tổ chức đào tạo, bồi dưỡng, thực hiện chuẩn hóa đội ngũ giảng viên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phương pháp đào tạo, bao gồm: đổi mới phương pháp giảng dạy, kết hợp phương pháp truyền thống với phương pháp hiện đại, áp dụng các phương pháp đối thoại, đàm thoại... chuyển dần từ phương pháp thông tin một chiều sang thông tin hai chiều bằng trao đổi, đối thoại giữa giảng viên với sinh viên, tổ chức các bài tập tình huống. Nâng cao trách nhiệm, hiệu quả của công tác quản lý, chỉ đạo của lãnh đạo khoa và trường, kết hợp chặt chẽ với cấp uỷ, chính quyền quản lý và kiểm tra kết quả đào tạo, bồi dưỡng giảng viên. Phát huy vai trò chủ động tích cực của bản thân giảng viên.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Triển khai xây dựng khung năng lực giảng viên tại trường đáp ứng yêu cầu mới bao gồm các tiêu chuẩn: phẩm chất chính trị; đạo đức nghề nghiệp, lối sống; kiến thức, năng lực chuyên môn; năng lực sư phạm; nghiên cứu khoa học; hoạt động thực tiễn, hoạt động chính trị - xã hội; phát triển nghề nghiệp, phát triển bản thân.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Cùng với nhiệm vụ đào tạo thì bồi dưỡng đội ngũ giảng viên cũng là một nhiệm vụ quan trọng trong phát triển đội ngũ giảng viên và là quyền của nhà giáo, được đào tạo nâng cao trình độ, bồi dưỡng chuyên môn, nghiệp vụ. Nội dung bồi dưỡng cho giảng viên cần tập trung vào các vấn đề sau: bồi dưỡng những vấn đề phát triển mới của chương trình đào tạo; bổ sung tri thức mới như cập nhật những vấn đề mới về chủ trương quan điểm của Đảng, chính sách, pháp luật của nhà nước cũng như cập nhật những thực tiễn mới về kinh tế, chính trị, xã hội trong và ngoài nước. Căn cứ vào nội dung bồi dưỡng có thể tổ chức cấp khoa hoặc trường, mời các chuyên gia về các lĩnh vực với các hình thức: Hội thảo chuyên đề, xêmina khoa học, thông tin khoa học, tập huấn hàng năm; tổ chức hội thảo cấp khoa, sinh hoạt tổ chuyên môn và giảng viên tự học, tự bồi dưỡng...</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năm, tăng cường đầu tư kinh phí, nâng cấp cơ sở vật chất, hiện đại hoá các phương tiện dạy học.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hơn nữa chế độ đãi ngộ đối với đội ngũ giảng viên nhất là những chính sách về tiền lương. Tăng nguồn đầu tư ngân sách cho đào tạo, bồi dưỡng. Thực hiện công bằng trong đào tạo, bồi dưỡng; đảm bảo cho giảng viên giỏi phát triển tài năng. Tăng cường hợp tác để thực hiện chuyển giao, hiện đại hóa các phương tiện dạy học.</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sáu, xây dựng môi trường làm việc văn hóa, tạo điều kiện thuận lợi cho giảng viên.</w:t>
      </w:r>
    </w:p>
    <w:p w:rsidR="000439A0" w:rsidRDefault="005F6E78">
      <w:pPr>
        <w:spacing w:after="0" w:line="240" w:lineRule="auto"/>
        <w:ind w:firstLine="283"/>
        <w:jc w:val="both"/>
        <w:rPr>
          <w:rFonts w:ascii="Times New Roman" w:eastAsia="MS Mincho" w:hAnsi="Times New Roman" w:cs="Times New Roman"/>
          <w:b/>
          <w:spacing w:val="-4"/>
          <w:w w:val="98"/>
          <w:sz w:val="21"/>
          <w:szCs w:val="26"/>
        </w:rPr>
      </w:pPr>
      <w:r>
        <w:rPr>
          <w:rFonts w:ascii="Times New Roman" w:hAnsi="Times New Roman" w:cs="Times New Roman"/>
          <w:sz w:val="21"/>
          <w:szCs w:val="21"/>
        </w:rPr>
        <w:t>Tạo môi trường làm việc thân thiện, vui vẻ và thuận lợi để các giảng viên cảm thấy khoa và trường như là “ngôi nhà thứ hai” của mình. Môi trường làm việc thuận lợi là các cơ sở vật chất, trang thiết bị phải đầy đủ đáp ứng nhu cầu giảng dạy và nghiên cứu của giảng viên. Nhà trường cũng cần thực hiện các chính sách về lương, thưởng, định mức giờ dạy, chế độ nghỉ ngơi ưu đãi thuận tiện cho giảng viên làm việc và cống hiến hết mình. Khoa và nhà trường cần có kế hoạch sử dụng nhân lực cho phù hợp với năng lực và sở trưởng của từng giảng viên. Cần tạo ra môi trường làm việc mà người giảng viên được bình đẳng về quyền lợi và nhiệm vụ, tôn trọng về ý kiến và dân chủ thực sự để giảng viên có thể nói lên ý kiến thực của mình nhằm góp phần xây dựng tập thể vững mạnh cũng như nhận thấy những hạn chế của từng cá nhân để khác phục. Ngoài ra, trường cũng cần xây dựng nội quy văn hóa ứng xử công sở và các hoạt động phong trào thể dục, thể thao, văn nghệ, giải trí để tạo ra bầu không khí thoải mái và đoàn kết giữa các giảng viên.</w:t>
      </w:r>
    </w:p>
    <w:p w:rsidR="000439A0" w:rsidRDefault="005F6E78">
      <w:pPr>
        <w:spacing w:before="40" w:after="0" w:line="240" w:lineRule="auto"/>
        <w:jc w:val="both"/>
        <w:rPr>
          <w:rFonts w:ascii="Times New Roman" w:hAnsi="Times New Roman" w:cs="Times New Roman"/>
          <w:b/>
          <w:spacing w:val="-4"/>
          <w:w w:val="98"/>
          <w:sz w:val="21"/>
          <w:szCs w:val="26"/>
        </w:rPr>
      </w:pPr>
      <w:bookmarkStart w:id="0" w:name="_Toc10839344"/>
      <w:bookmarkStart w:id="1" w:name="_Toc10839685"/>
      <w:bookmarkStart w:id="2" w:name="_Toc10838450"/>
      <w:r>
        <w:rPr>
          <w:rFonts w:ascii="Times New Roman" w:hAnsi="Times New Roman" w:cs="Times New Roman"/>
          <w:b/>
          <w:spacing w:val="-4"/>
          <w:w w:val="98"/>
          <w:sz w:val="21"/>
          <w:szCs w:val="26"/>
        </w:rPr>
        <w:t>3. Kết luận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Tóm lại, tác động của cuộc cách mạng công nghiệp 4.0 diễn ra trên nhiều lĩnh vực, trong đó có giáo dục - đào tạo. Để đáp ứng được yêu cầu đâò tạo nguồn nhân lực trong bối cảnh cách mạng công nghiệp 4.0, trường Cao đẳng Lý Tự Trọng thành phố Hồ Chí Minh nói chung và đội ngũ giảng viên giảng dạy môn Giáo dục chính trị nói riêng cần phải nhanh chóng thay đổi phương thức đào tạo, giảng dạy cho phù hợp với xu </w:t>
      </w:r>
      <w:r>
        <w:rPr>
          <w:rFonts w:ascii="Times New Roman" w:hAnsi="Times New Roman" w:cs="Times New Roman"/>
          <w:sz w:val="21"/>
          <w:szCs w:val="21"/>
        </w:rPr>
        <w:lastRenderedPageBreak/>
        <w:t>hướng phát triển của thế giới theo sự phát triển mạnh mẽ của khoa học và công nghệ thông tin. Giảng viên giảng dạy môn Giáo dục chính trị tại trường  Cao đẳng Lý Tự Trọng thành phố Hồ Chí Minh cần phải chủ động tham gia và ứng dụng những thành tựu của khoa học - công nghệ vào việc nâng cao hiệu quả công tác giảng dạy, từ đó góp phần đào tạo được nguồn nhân lực có số lượng, chất lượng cao, đáp ứng yêu cầu mới của cuộc cách mạng công nghiệp 4.0 đang diễn ra như vũ bão hiện nay./</w:t>
      </w:r>
    </w:p>
    <w:p w:rsidR="000439A0" w:rsidRDefault="000439A0">
      <w:pPr>
        <w:spacing w:after="0" w:line="240" w:lineRule="auto"/>
        <w:jc w:val="both"/>
        <w:rPr>
          <w:rFonts w:ascii="Times New Roman" w:hAnsi="Times New Roman" w:cs="Times New Roman"/>
          <w:sz w:val="21"/>
          <w:szCs w:val="21"/>
        </w:rPr>
      </w:pPr>
    </w:p>
    <w:p w:rsidR="000439A0" w:rsidRDefault="005F6E78">
      <w:pPr>
        <w:spacing w:after="0" w:line="240" w:lineRule="auto"/>
        <w:ind w:firstLine="283"/>
        <w:jc w:val="center"/>
        <w:rPr>
          <w:rFonts w:ascii="Times New Roman" w:hAnsi="Times New Roman" w:cs="Times New Roman"/>
          <w:b/>
          <w:bCs/>
          <w:sz w:val="21"/>
          <w:szCs w:val="21"/>
        </w:rPr>
      </w:pPr>
      <w:r>
        <w:rPr>
          <w:rFonts w:ascii="Times New Roman" w:hAnsi="Times New Roman" w:cs="Times New Roman"/>
          <w:b/>
          <w:bCs/>
          <w:sz w:val="21"/>
          <w:szCs w:val="21"/>
        </w:rPr>
        <w:t>TÀI LIỆU THAM KHẢO</w:t>
      </w:r>
    </w:p>
    <w:p w:rsidR="000439A0" w:rsidRDefault="000439A0">
      <w:pPr>
        <w:spacing w:after="0" w:line="240" w:lineRule="auto"/>
        <w:ind w:firstLine="283"/>
        <w:jc w:val="center"/>
        <w:rPr>
          <w:rFonts w:ascii="Times New Roman" w:hAnsi="Times New Roman" w:cs="Times New Roman"/>
          <w:sz w:val="21"/>
          <w:szCs w:val="21"/>
        </w:rPr>
      </w:pP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1. Đảng Cộng sản Việt Nam (2013), </w:t>
      </w:r>
      <w:r>
        <w:rPr>
          <w:rFonts w:ascii="Times New Roman" w:hAnsi="Times New Roman" w:cs="Times New Roman"/>
          <w:i/>
          <w:iCs/>
          <w:sz w:val="21"/>
          <w:szCs w:val="21"/>
        </w:rPr>
        <w:t>Nghị quyết 29-NQ/TW về “Đổi mới căn bản, toàn diện giáo dục và đào tạo, đáp ứng yêu cầu công nghiệp hóa, hiện đại hóa trong điều kiện kinh tế thị trường định hướng xã hội chủ nghĩa và hội nhập quốc tế.”</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2. Nhật Hồng, </w:t>
      </w:r>
      <w:r>
        <w:rPr>
          <w:rFonts w:ascii="Times New Roman" w:hAnsi="Times New Roman" w:cs="Times New Roman"/>
          <w:i/>
          <w:iCs/>
          <w:sz w:val="21"/>
          <w:szCs w:val="21"/>
        </w:rPr>
        <w:t>Giáo dục đại học đứng trước cuộc cách mạng công nghiệp 4.0</w:t>
      </w:r>
      <w:r>
        <w:rPr>
          <w:rFonts w:ascii="Times New Roman" w:hAnsi="Times New Roman" w:cs="Times New Roman"/>
          <w:sz w:val="21"/>
          <w:szCs w:val="21"/>
        </w:rPr>
        <w:t>, http://dantri.com.vn/, ngày 14/10/2017.</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3. TS. Nguyễn Chí Trường (2018), </w:t>
      </w:r>
      <w:r>
        <w:rPr>
          <w:rFonts w:ascii="Times New Roman" w:hAnsi="Times New Roman" w:cs="Times New Roman"/>
          <w:i/>
          <w:iCs/>
          <w:sz w:val="21"/>
          <w:szCs w:val="21"/>
        </w:rPr>
        <w:t>Cuộc CMCN 4.0: Cơ hội, thách thức và giải pháp hai tốc độ cho giáo dục nghề nghiệp;</w:t>
      </w:r>
      <w:r>
        <w:rPr>
          <w:rFonts w:ascii="Times New Roman" w:hAnsi="Times New Roman" w:cs="Times New Roman"/>
          <w:sz w:val="21"/>
          <w:szCs w:val="21"/>
        </w:rPr>
        <w:t xml:space="preserve"> Tổng cục Giáo dục nghề nghiệp (Bộ Lao động - Thương binh và Xã hội).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4. PGS, TS. Nguyễn Cúc (2017), </w:t>
      </w:r>
      <w:r>
        <w:rPr>
          <w:rFonts w:ascii="Times New Roman" w:hAnsi="Times New Roman" w:cs="Times New Roman"/>
          <w:i/>
          <w:iCs/>
          <w:sz w:val="21"/>
          <w:szCs w:val="21"/>
        </w:rPr>
        <w:t>Tác động của cuộc CMCN 4.0 đối với cơ sở giáo dục đại học ở Việt Nam và gợi ý chính sách cho Việt Nam</w:t>
      </w:r>
      <w:r>
        <w:rPr>
          <w:rFonts w:ascii="Times New Roman" w:hAnsi="Times New Roman" w:cs="Times New Roman"/>
          <w:sz w:val="21"/>
          <w:szCs w:val="21"/>
        </w:rPr>
        <w:t xml:space="preserve"> - Học viện Chính trị khu vực 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5. Nguyễn Đắc Hưng (2017), </w:t>
      </w:r>
      <w:r>
        <w:rPr>
          <w:rFonts w:ascii="Times New Roman" w:hAnsi="Times New Roman" w:cs="Times New Roman"/>
          <w:i/>
          <w:iCs/>
          <w:sz w:val="21"/>
          <w:szCs w:val="21"/>
        </w:rPr>
        <w:t>“Cuộc cách mạng công nghiệp lần thứ tư và vấn đề đặt ra với giáo dục Việt Nam”,</w:t>
      </w:r>
      <w:r>
        <w:rPr>
          <w:rFonts w:ascii="Times New Roman" w:hAnsi="Times New Roman" w:cs="Times New Roman"/>
          <w:sz w:val="21"/>
          <w:szCs w:val="21"/>
        </w:rPr>
        <w:t xml:space="preserve"> NXB Quân đội nhân dân, trang 296-328.</w:t>
      </w:r>
    </w:p>
    <w:p w:rsidR="000439A0" w:rsidRDefault="000439A0">
      <w:pPr>
        <w:spacing w:before="40" w:after="0" w:line="240" w:lineRule="auto"/>
        <w:jc w:val="both"/>
        <w:rPr>
          <w:rFonts w:ascii="Times New Roman" w:hAnsi="Times New Roman" w:cs="Times New Roman"/>
          <w:b/>
          <w:spacing w:val="-4"/>
          <w:w w:val="98"/>
          <w:sz w:val="21"/>
          <w:szCs w:val="26"/>
        </w:rPr>
      </w:pPr>
    </w:p>
    <w:p w:rsidR="000439A0" w:rsidRDefault="000439A0">
      <w:pPr>
        <w:rPr>
          <w:rFonts w:ascii="Times New Roman" w:hAnsi="Times New Roman" w:cs="Times New Roman"/>
          <w:b/>
          <w:spacing w:val="-4"/>
          <w:w w:val="98"/>
          <w:sz w:val="21"/>
          <w:szCs w:val="26"/>
        </w:rPr>
      </w:pPr>
    </w:p>
    <w:p w:rsidR="000439A0" w:rsidRDefault="000439A0">
      <w:pPr>
        <w:spacing w:before="40" w:after="0" w:line="240" w:lineRule="auto"/>
        <w:jc w:val="both"/>
        <w:rPr>
          <w:rFonts w:ascii="Times New Roman" w:hAnsi="Times New Roman" w:cs="Times New Roman"/>
          <w:b/>
          <w:spacing w:val="-4"/>
          <w:w w:val="98"/>
          <w:sz w:val="21"/>
          <w:szCs w:val="26"/>
        </w:rPr>
      </w:pPr>
    </w:p>
    <w:bookmarkEnd w:id="0"/>
    <w:bookmarkEnd w:id="1"/>
    <w:bookmarkEnd w:id="2"/>
    <w:p w:rsidR="000439A0" w:rsidRDefault="000439A0">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p>
    <w:p w:rsidR="000439A0" w:rsidRDefault="000439A0">
      <w:pPr>
        <w:tabs>
          <w:tab w:val="left" w:pos="567"/>
        </w:tabs>
        <w:autoSpaceDE w:val="0"/>
        <w:autoSpaceDN w:val="0"/>
        <w:adjustRightInd w:val="0"/>
        <w:spacing w:before="40" w:after="0" w:line="240" w:lineRule="auto"/>
        <w:contextualSpacing/>
        <w:jc w:val="both"/>
        <w:rPr>
          <w:rFonts w:ascii="Times New Roman" w:eastAsiaTheme="minorEastAsia" w:hAnsi="Times New Roman" w:cs="Times New Roman"/>
          <w:spacing w:val="-4"/>
          <w:w w:val="98"/>
          <w:sz w:val="21"/>
          <w:szCs w:val="21"/>
        </w:rPr>
      </w:pPr>
    </w:p>
    <w:tbl>
      <w:tblPr>
        <w:tblW w:w="108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90"/>
        <w:gridCol w:w="1302"/>
        <w:gridCol w:w="1401"/>
        <w:gridCol w:w="1472"/>
        <w:gridCol w:w="1315"/>
        <w:gridCol w:w="1433"/>
      </w:tblGrid>
      <w:tr w:rsidR="00990013" w:rsidRPr="000C27F1" w:rsidTr="00990013">
        <w:trPr>
          <w:trHeight w:val="2194"/>
          <w:jc w:val="center"/>
        </w:trPr>
        <w:tc>
          <w:tcPr>
            <w:tcW w:w="3890"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after="200" w:line="276" w:lineRule="auto"/>
              <w:jc w:val="center"/>
              <w:rPr>
                <w:b/>
                <w:sz w:val="28"/>
                <w:szCs w:val="28"/>
                <w:lang w:val="vi-VN"/>
              </w:rPr>
            </w:pPr>
            <w:r w:rsidRPr="000C27F1">
              <w:rPr>
                <w:b/>
                <w:sz w:val="28"/>
                <w:szCs w:val="28"/>
              </w:rPr>
              <w:t>Giám Khảo</w:t>
            </w:r>
          </w:p>
        </w:tc>
        <w:tc>
          <w:tcPr>
            <w:tcW w:w="1302"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after="200" w:line="276" w:lineRule="auto"/>
              <w:jc w:val="center"/>
              <w:rPr>
                <w:b/>
                <w:color w:val="0070C0"/>
                <w:sz w:val="28"/>
                <w:szCs w:val="28"/>
                <w:lang w:val="vi-VN"/>
              </w:rPr>
            </w:pPr>
            <w:r w:rsidRPr="000C27F1">
              <w:rPr>
                <w:b/>
                <w:color w:val="0070C0"/>
                <w:sz w:val="28"/>
                <w:szCs w:val="28"/>
              </w:rPr>
              <w:t>Tính mới của bài hội thảo (3đ)</w:t>
            </w:r>
          </w:p>
        </w:tc>
        <w:tc>
          <w:tcPr>
            <w:tcW w:w="1401"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after="200" w:line="276" w:lineRule="auto"/>
              <w:jc w:val="center"/>
              <w:rPr>
                <w:color w:val="0070C0"/>
                <w:sz w:val="28"/>
                <w:szCs w:val="28"/>
                <w:lang w:val="vi-VN"/>
              </w:rPr>
            </w:pPr>
            <w:r w:rsidRPr="000C27F1">
              <w:rPr>
                <w:b/>
                <w:color w:val="0070C0"/>
                <w:sz w:val="28"/>
                <w:szCs w:val="28"/>
              </w:rPr>
              <w:t>Tính Khoa học của bài hội thảo (3đ)</w:t>
            </w:r>
          </w:p>
        </w:tc>
        <w:tc>
          <w:tcPr>
            <w:tcW w:w="1472"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line="256" w:lineRule="auto"/>
              <w:jc w:val="center"/>
              <w:rPr>
                <w:b/>
                <w:color w:val="0070C0"/>
                <w:sz w:val="28"/>
                <w:szCs w:val="28"/>
              </w:rPr>
            </w:pPr>
            <w:r w:rsidRPr="000C27F1">
              <w:rPr>
                <w:b/>
                <w:color w:val="0070C0"/>
                <w:sz w:val="28"/>
                <w:szCs w:val="28"/>
              </w:rPr>
              <w:t>Tính thực tiễn của bài hội thảo</w:t>
            </w:r>
          </w:p>
          <w:p w:rsidR="00990013" w:rsidRPr="000C27F1" w:rsidRDefault="00990013" w:rsidP="00BE6DFE">
            <w:pPr>
              <w:spacing w:after="200" w:line="276" w:lineRule="auto"/>
              <w:jc w:val="center"/>
              <w:rPr>
                <w:color w:val="0070C0"/>
                <w:sz w:val="28"/>
                <w:szCs w:val="28"/>
                <w:lang w:val="vi-VN"/>
              </w:rPr>
            </w:pPr>
            <w:r w:rsidRPr="000C27F1">
              <w:rPr>
                <w:b/>
                <w:color w:val="0070C0"/>
                <w:sz w:val="28"/>
                <w:szCs w:val="28"/>
              </w:rPr>
              <w:t>(4đ)</w:t>
            </w:r>
          </w:p>
        </w:tc>
        <w:tc>
          <w:tcPr>
            <w:tcW w:w="1315" w:type="dxa"/>
            <w:tcBorders>
              <w:top w:val="single" w:sz="4" w:space="0" w:color="000000"/>
              <w:left w:val="single" w:sz="4" w:space="0" w:color="000000"/>
              <w:bottom w:val="single" w:sz="4" w:space="0" w:color="000000"/>
              <w:right w:val="single" w:sz="4" w:space="0" w:color="000000"/>
            </w:tcBorders>
          </w:tcPr>
          <w:p w:rsidR="00990013" w:rsidRPr="000C27F1" w:rsidRDefault="00990013" w:rsidP="00BE6DFE">
            <w:pPr>
              <w:spacing w:line="256" w:lineRule="auto"/>
              <w:jc w:val="center"/>
              <w:rPr>
                <w:b/>
                <w:sz w:val="28"/>
                <w:szCs w:val="28"/>
              </w:rPr>
            </w:pPr>
          </w:p>
          <w:p w:rsidR="00990013" w:rsidRPr="000C27F1" w:rsidRDefault="00990013" w:rsidP="00BE6DFE">
            <w:pPr>
              <w:spacing w:after="200" w:line="276" w:lineRule="auto"/>
              <w:jc w:val="center"/>
              <w:rPr>
                <w:b/>
                <w:color w:val="FF0000"/>
                <w:sz w:val="28"/>
                <w:szCs w:val="28"/>
                <w:lang w:val="vi-VN"/>
              </w:rPr>
            </w:pPr>
            <w:r w:rsidRPr="000C27F1">
              <w:rPr>
                <w:b/>
                <w:color w:val="FF0000"/>
                <w:sz w:val="28"/>
                <w:szCs w:val="28"/>
              </w:rPr>
              <w:t>Điểm trừ của bài hội thảo</w:t>
            </w:r>
          </w:p>
        </w:tc>
        <w:tc>
          <w:tcPr>
            <w:tcW w:w="1432" w:type="dxa"/>
            <w:tcBorders>
              <w:top w:val="single" w:sz="4" w:space="0" w:color="000000"/>
              <w:left w:val="single" w:sz="4" w:space="0" w:color="000000"/>
              <w:bottom w:val="single" w:sz="4" w:space="0" w:color="000000"/>
              <w:right w:val="single" w:sz="4" w:space="0" w:color="auto"/>
            </w:tcBorders>
            <w:vAlign w:val="center"/>
            <w:hideMark/>
          </w:tcPr>
          <w:p w:rsidR="00990013" w:rsidRPr="000C27F1" w:rsidRDefault="00990013" w:rsidP="00BE6DFE">
            <w:pPr>
              <w:spacing w:after="200" w:line="276" w:lineRule="auto"/>
              <w:jc w:val="center"/>
              <w:rPr>
                <w:sz w:val="28"/>
                <w:szCs w:val="28"/>
                <w:lang w:val="vi-VN"/>
              </w:rPr>
            </w:pPr>
            <w:r w:rsidRPr="000C27F1">
              <w:rPr>
                <w:b/>
                <w:sz w:val="28"/>
                <w:szCs w:val="28"/>
              </w:rPr>
              <w:t>Tổng Điểm</w:t>
            </w:r>
          </w:p>
        </w:tc>
      </w:tr>
      <w:tr w:rsidR="00990013" w:rsidRPr="000C27F1" w:rsidTr="00990013">
        <w:trPr>
          <w:trHeight w:val="431"/>
          <w:jc w:val="center"/>
        </w:trPr>
        <w:tc>
          <w:tcPr>
            <w:tcW w:w="3890"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after="200" w:line="276" w:lineRule="auto"/>
              <w:jc w:val="center"/>
              <w:rPr>
                <w:b/>
                <w:sz w:val="28"/>
                <w:szCs w:val="28"/>
                <w:lang w:val="vi-VN"/>
              </w:rPr>
            </w:pPr>
            <w:r w:rsidRPr="000C27F1">
              <w:rPr>
                <w:b/>
                <w:sz w:val="28"/>
                <w:szCs w:val="28"/>
              </w:rPr>
              <w:t>Cho Điểm từng phần</w:t>
            </w:r>
          </w:p>
        </w:tc>
        <w:tc>
          <w:tcPr>
            <w:tcW w:w="1302" w:type="dxa"/>
            <w:tcBorders>
              <w:top w:val="single" w:sz="4" w:space="0" w:color="000000"/>
              <w:left w:val="single" w:sz="4" w:space="0" w:color="000000"/>
              <w:bottom w:val="single" w:sz="4" w:space="0" w:color="000000"/>
              <w:right w:val="single" w:sz="4" w:space="0" w:color="000000"/>
            </w:tcBorders>
            <w:vAlign w:val="center"/>
          </w:tcPr>
          <w:p w:rsidR="00990013" w:rsidRPr="00990013" w:rsidRDefault="00990013" w:rsidP="00BE6DFE">
            <w:pPr>
              <w:spacing w:after="200" w:line="276" w:lineRule="auto"/>
              <w:jc w:val="center"/>
              <w:rPr>
                <w:b/>
                <w:sz w:val="28"/>
                <w:szCs w:val="28"/>
              </w:rPr>
            </w:pPr>
            <w:r>
              <w:rPr>
                <w:b/>
                <w:sz w:val="28"/>
                <w:szCs w:val="28"/>
              </w:rPr>
              <w:t>2</w:t>
            </w:r>
          </w:p>
        </w:tc>
        <w:tc>
          <w:tcPr>
            <w:tcW w:w="1401" w:type="dxa"/>
            <w:tcBorders>
              <w:top w:val="single" w:sz="4" w:space="0" w:color="000000"/>
              <w:left w:val="single" w:sz="4" w:space="0" w:color="000000"/>
              <w:bottom w:val="single" w:sz="4" w:space="0" w:color="000000"/>
              <w:right w:val="single" w:sz="4" w:space="0" w:color="000000"/>
            </w:tcBorders>
            <w:vAlign w:val="center"/>
          </w:tcPr>
          <w:p w:rsidR="00990013" w:rsidRPr="00990013" w:rsidRDefault="00990013" w:rsidP="00BE6DFE">
            <w:pPr>
              <w:spacing w:after="200" w:line="276" w:lineRule="auto"/>
              <w:jc w:val="center"/>
              <w:rPr>
                <w:sz w:val="28"/>
                <w:szCs w:val="28"/>
              </w:rPr>
            </w:pPr>
            <w:r>
              <w:rPr>
                <w:sz w:val="28"/>
                <w:szCs w:val="28"/>
              </w:rPr>
              <w:t>2.5</w:t>
            </w:r>
          </w:p>
        </w:tc>
        <w:tc>
          <w:tcPr>
            <w:tcW w:w="1472" w:type="dxa"/>
            <w:tcBorders>
              <w:top w:val="single" w:sz="4" w:space="0" w:color="000000"/>
              <w:left w:val="single" w:sz="4" w:space="0" w:color="000000"/>
              <w:bottom w:val="single" w:sz="4" w:space="0" w:color="000000"/>
              <w:right w:val="single" w:sz="4" w:space="0" w:color="000000"/>
            </w:tcBorders>
            <w:vAlign w:val="center"/>
          </w:tcPr>
          <w:p w:rsidR="00990013" w:rsidRPr="00990013" w:rsidRDefault="00990013" w:rsidP="00BE6DFE">
            <w:pPr>
              <w:spacing w:after="200" w:line="276" w:lineRule="auto"/>
              <w:jc w:val="center"/>
              <w:rPr>
                <w:sz w:val="28"/>
                <w:szCs w:val="28"/>
              </w:rPr>
            </w:pPr>
            <w:r>
              <w:rPr>
                <w:sz w:val="28"/>
                <w:szCs w:val="28"/>
              </w:rPr>
              <w:t>3</w:t>
            </w:r>
          </w:p>
        </w:tc>
        <w:tc>
          <w:tcPr>
            <w:tcW w:w="1315" w:type="dxa"/>
            <w:tcBorders>
              <w:top w:val="single" w:sz="4" w:space="0" w:color="000000"/>
              <w:left w:val="single" w:sz="4" w:space="0" w:color="000000"/>
              <w:bottom w:val="single" w:sz="4" w:space="0" w:color="000000"/>
              <w:right w:val="single" w:sz="4" w:space="0" w:color="000000"/>
            </w:tcBorders>
          </w:tcPr>
          <w:p w:rsidR="00990013" w:rsidRPr="00990013" w:rsidRDefault="00990013" w:rsidP="00BE6DFE">
            <w:pPr>
              <w:spacing w:after="200" w:line="276" w:lineRule="auto"/>
              <w:rPr>
                <w:sz w:val="28"/>
                <w:szCs w:val="28"/>
              </w:rPr>
            </w:pPr>
            <w:r>
              <w:rPr>
                <w:sz w:val="28"/>
                <w:szCs w:val="28"/>
              </w:rPr>
              <w:t>0</w:t>
            </w:r>
          </w:p>
        </w:tc>
        <w:tc>
          <w:tcPr>
            <w:tcW w:w="1432" w:type="dxa"/>
            <w:tcBorders>
              <w:top w:val="single" w:sz="4" w:space="0" w:color="000000"/>
              <w:left w:val="single" w:sz="4" w:space="0" w:color="000000"/>
              <w:bottom w:val="single" w:sz="4" w:space="0" w:color="000000"/>
              <w:right w:val="single" w:sz="4" w:space="0" w:color="000000"/>
            </w:tcBorders>
          </w:tcPr>
          <w:p w:rsidR="00990013" w:rsidRPr="00990013" w:rsidRDefault="00990013" w:rsidP="00BE6DFE">
            <w:pPr>
              <w:spacing w:after="200" w:line="276" w:lineRule="auto"/>
              <w:rPr>
                <w:sz w:val="28"/>
                <w:szCs w:val="28"/>
              </w:rPr>
            </w:pPr>
            <w:r>
              <w:rPr>
                <w:sz w:val="28"/>
                <w:szCs w:val="28"/>
              </w:rPr>
              <w:t>7.5</w:t>
            </w:r>
          </w:p>
        </w:tc>
      </w:tr>
      <w:tr w:rsidR="00990013" w:rsidRPr="000C27F1" w:rsidTr="00990013">
        <w:trPr>
          <w:trHeight w:val="1232"/>
          <w:jc w:val="center"/>
        </w:trPr>
        <w:tc>
          <w:tcPr>
            <w:tcW w:w="3890" w:type="dxa"/>
            <w:tcBorders>
              <w:top w:val="single" w:sz="4" w:space="0" w:color="000000"/>
              <w:left w:val="single" w:sz="4" w:space="0" w:color="000000"/>
              <w:bottom w:val="single" w:sz="4" w:space="0" w:color="000000"/>
              <w:right w:val="single" w:sz="4" w:space="0" w:color="000000"/>
            </w:tcBorders>
            <w:vAlign w:val="center"/>
            <w:hideMark/>
          </w:tcPr>
          <w:p w:rsidR="00990013" w:rsidRPr="000C27F1" w:rsidRDefault="00990013" w:rsidP="00BE6DFE">
            <w:pPr>
              <w:spacing w:line="256" w:lineRule="auto"/>
              <w:jc w:val="center"/>
              <w:rPr>
                <w:b/>
                <w:sz w:val="28"/>
                <w:szCs w:val="28"/>
              </w:rPr>
            </w:pPr>
            <w:r w:rsidRPr="000C27F1">
              <w:rPr>
                <w:b/>
                <w:sz w:val="28"/>
                <w:szCs w:val="28"/>
              </w:rPr>
              <w:t>Nhận Xét các mặt của</w:t>
            </w:r>
          </w:p>
          <w:p w:rsidR="00990013" w:rsidRPr="000C27F1" w:rsidRDefault="00990013" w:rsidP="00BE6DFE">
            <w:pPr>
              <w:spacing w:after="200" w:line="276" w:lineRule="auto"/>
              <w:jc w:val="center"/>
              <w:rPr>
                <w:b/>
                <w:sz w:val="28"/>
                <w:szCs w:val="28"/>
                <w:lang w:val="vi-VN"/>
              </w:rPr>
            </w:pPr>
            <w:r w:rsidRPr="000C27F1">
              <w:rPr>
                <w:b/>
                <w:sz w:val="28"/>
                <w:szCs w:val="28"/>
              </w:rPr>
              <w:t xml:space="preserve"> bài viết</w:t>
            </w:r>
          </w:p>
        </w:tc>
        <w:tc>
          <w:tcPr>
            <w:tcW w:w="6923" w:type="dxa"/>
            <w:gridSpan w:val="5"/>
            <w:tcBorders>
              <w:top w:val="single" w:sz="4" w:space="0" w:color="000000"/>
              <w:left w:val="single" w:sz="4" w:space="0" w:color="000000"/>
              <w:bottom w:val="single" w:sz="4" w:space="0" w:color="000000"/>
              <w:right w:val="single" w:sz="4" w:space="0" w:color="000000"/>
            </w:tcBorders>
            <w:vAlign w:val="center"/>
          </w:tcPr>
          <w:p w:rsidR="00990013" w:rsidRDefault="00990013" w:rsidP="00BE6DFE">
            <w:pPr>
              <w:spacing w:after="200" w:line="276" w:lineRule="auto"/>
              <w:rPr>
                <w:sz w:val="28"/>
                <w:szCs w:val="28"/>
              </w:rPr>
            </w:pPr>
            <w:r w:rsidRPr="00990013">
              <w:rPr>
                <w:b/>
                <w:i/>
                <w:sz w:val="28"/>
                <w:szCs w:val="28"/>
              </w:rPr>
              <w:t>Tính mới:</w:t>
            </w:r>
            <w:r>
              <w:rPr>
                <w:sz w:val="28"/>
                <w:szCs w:val="28"/>
              </w:rPr>
              <w:t xml:space="preserve"> Tên bài viết không mới, tuy nhiên, nội dung bài viết đáp ứng với yêu cầu của chủ đề hội thảo năm nay</w:t>
            </w:r>
          </w:p>
          <w:p w:rsidR="00990013" w:rsidRDefault="00990013" w:rsidP="00BE6DFE">
            <w:pPr>
              <w:spacing w:after="200" w:line="276" w:lineRule="auto"/>
              <w:rPr>
                <w:sz w:val="28"/>
                <w:szCs w:val="28"/>
              </w:rPr>
            </w:pPr>
            <w:r w:rsidRPr="00990013">
              <w:rPr>
                <w:b/>
                <w:i/>
                <w:sz w:val="28"/>
                <w:szCs w:val="28"/>
              </w:rPr>
              <w:t>Tính khoa học</w:t>
            </w:r>
            <w:r>
              <w:rPr>
                <w:b/>
                <w:i/>
                <w:sz w:val="28"/>
                <w:szCs w:val="28"/>
              </w:rPr>
              <w:t xml:space="preserve">: </w:t>
            </w:r>
            <w:r>
              <w:rPr>
                <w:sz w:val="28"/>
                <w:szCs w:val="28"/>
              </w:rPr>
              <w:t xml:space="preserve"> Về hình thức, cách trình bày bài viết tương đối phù hợp với yêu cầu quy định, tuy nhiên, phần tóm tắt nên nói rõ bối cảnh, kết quả và vấn đề cần bàn luận, như vậy, có thể khái quát toàn bộ nội dung bài viết hơn</w:t>
            </w:r>
          </w:p>
          <w:p w:rsidR="00990013" w:rsidRDefault="00990013" w:rsidP="00BE6DFE">
            <w:pPr>
              <w:spacing w:after="200" w:line="276" w:lineRule="auto"/>
              <w:rPr>
                <w:sz w:val="28"/>
                <w:szCs w:val="28"/>
              </w:rPr>
            </w:pPr>
            <w:r>
              <w:rPr>
                <w:sz w:val="28"/>
                <w:szCs w:val="28"/>
              </w:rPr>
              <w:lastRenderedPageBreak/>
              <w:t>Kết cấu bài viết phù hợp, bố cục hợp lý, nội dung giữa các phần rõ ràng</w:t>
            </w:r>
          </w:p>
          <w:p w:rsidR="00990013" w:rsidRDefault="00990013" w:rsidP="008658AF">
            <w:pPr>
              <w:spacing w:after="200" w:line="276" w:lineRule="auto"/>
              <w:rPr>
                <w:sz w:val="28"/>
                <w:szCs w:val="28"/>
              </w:rPr>
            </w:pPr>
            <w:r>
              <w:rPr>
                <w:sz w:val="28"/>
                <w:szCs w:val="28"/>
              </w:rPr>
              <w:t xml:space="preserve">Phần thực trạng, tác giả có khái quát tổng quan về đội ngũ GV Khoa, tuy nhiên, nếu được tác giả nên đi sâu nghiên cứu từng mặt của đội ngũ GV Khoa </w:t>
            </w:r>
            <w:r w:rsidR="008658AF">
              <w:rPr>
                <w:sz w:val="28"/>
                <w:szCs w:val="28"/>
              </w:rPr>
              <w:t>để thấy được các mặt đó hiện nay đã đáp ứng được bao nhiêu so với yêu cầu của cách mạng 4.0</w:t>
            </w:r>
          </w:p>
          <w:p w:rsidR="008658AF" w:rsidRDefault="008658AF" w:rsidP="008658AF">
            <w:pPr>
              <w:spacing w:after="200" w:line="276" w:lineRule="auto"/>
              <w:rPr>
                <w:sz w:val="28"/>
                <w:szCs w:val="28"/>
              </w:rPr>
            </w:pPr>
            <w:r>
              <w:rPr>
                <w:sz w:val="28"/>
                <w:szCs w:val="28"/>
              </w:rPr>
              <w:t>Phần giải pháp, tác giả đã đưa ra được các giải pháp góp phần phát triển đội ngũ GV trong khoa trong thời gian sắp tới.</w:t>
            </w:r>
          </w:p>
          <w:p w:rsidR="008658AF" w:rsidRPr="008658AF" w:rsidRDefault="008658AF" w:rsidP="008658AF">
            <w:pPr>
              <w:spacing w:after="200" w:line="276" w:lineRule="auto"/>
              <w:rPr>
                <w:sz w:val="28"/>
                <w:szCs w:val="28"/>
              </w:rPr>
            </w:pPr>
            <w:r w:rsidRPr="008658AF">
              <w:rPr>
                <w:b/>
                <w:i/>
                <w:sz w:val="28"/>
                <w:szCs w:val="28"/>
              </w:rPr>
              <w:t>Tính thực tiễn:</w:t>
            </w:r>
            <w:r>
              <w:rPr>
                <w:b/>
                <w:i/>
                <w:sz w:val="28"/>
                <w:szCs w:val="28"/>
              </w:rPr>
              <w:t xml:space="preserve"> </w:t>
            </w:r>
            <w:r>
              <w:rPr>
                <w:sz w:val="28"/>
                <w:szCs w:val="28"/>
              </w:rPr>
              <w:t xml:space="preserve"> Các giải pháp bài viết đưa ra có thể áp dụng tại Khoa để giúp phát triển đội ngũ GV.</w:t>
            </w:r>
            <w:bookmarkStart w:id="3" w:name="_GoBack"/>
            <w:bookmarkEnd w:id="3"/>
          </w:p>
        </w:tc>
      </w:tr>
    </w:tbl>
    <w:p w:rsidR="000439A0" w:rsidRDefault="000439A0">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0439A0">
      <w:headerReference w:type="default" r:id="rId8"/>
      <w:footerReference w:type="default" r:id="rId9"/>
      <w:pgSz w:w="11907" w:h="16840"/>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D7A" w:rsidRDefault="008C2D7A">
      <w:pPr>
        <w:spacing w:line="240" w:lineRule="auto"/>
      </w:pPr>
      <w:r>
        <w:separator/>
      </w:r>
    </w:p>
  </w:endnote>
  <w:endnote w:type="continuationSeparator" w:id="0">
    <w:p w:rsidR="008C2D7A" w:rsidRDefault="008C2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AutoText"/>
      </w:docPartObj>
    </w:sdtPr>
    <w:sdtEndPr/>
    <w:sdtContent>
      <w:p w:rsidR="000439A0" w:rsidRDefault="005F6E78">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8658AF">
          <w:rPr>
            <w:rFonts w:ascii="Times New Roman" w:hAnsi="Times New Roman" w:cs="Times New Roman"/>
            <w:noProof/>
          </w:rPr>
          <w:t>7</w:t>
        </w:r>
        <w:r>
          <w:rPr>
            <w:rFonts w:ascii="Times New Roman" w:hAnsi="Times New Roman" w:cs="Times New Roman"/>
          </w:rPr>
          <w:fldChar w:fldCharType="end"/>
        </w:r>
      </w:p>
    </w:sdtContent>
  </w:sdt>
  <w:p w:rsidR="000439A0" w:rsidRDefault="000439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D7A" w:rsidRDefault="008C2D7A">
      <w:pPr>
        <w:spacing w:after="0" w:line="240" w:lineRule="auto"/>
      </w:pPr>
      <w:r>
        <w:separator/>
      </w:r>
    </w:p>
  </w:footnote>
  <w:footnote w:type="continuationSeparator" w:id="0">
    <w:p w:rsidR="008C2D7A" w:rsidRDefault="008C2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0439A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0439A0" w:rsidRDefault="005F6E78">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0439A0" w:rsidRDefault="005F6E78">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0439A0" w:rsidRDefault="000439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439A0"/>
    <w:rsid w:val="0006781E"/>
    <w:rsid w:val="000B252A"/>
    <w:rsid w:val="000C1844"/>
    <w:rsid w:val="001115B9"/>
    <w:rsid w:val="00120037"/>
    <w:rsid w:val="00120CE9"/>
    <w:rsid w:val="00140CD7"/>
    <w:rsid w:val="00194B6C"/>
    <w:rsid w:val="001B188B"/>
    <w:rsid w:val="0021765F"/>
    <w:rsid w:val="002210B9"/>
    <w:rsid w:val="00291F77"/>
    <w:rsid w:val="00295441"/>
    <w:rsid w:val="002C46D2"/>
    <w:rsid w:val="002D0008"/>
    <w:rsid w:val="002D08CD"/>
    <w:rsid w:val="002D7932"/>
    <w:rsid w:val="002E725D"/>
    <w:rsid w:val="00312C85"/>
    <w:rsid w:val="0032180B"/>
    <w:rsid w:val="00383C32"/>
    <w:rsid w:val="003E0449"/>
    <w:rsid w:val="003E2EB6"/>
    <w:rsid w:val="003F7599"/>
    <w:rsid w:val="00436FEF"/>
    <w:rsid w:val="004B005D"/>
    <w:rsid w:val="004D3352"/>
    <w:rsid w:val="004E7804"/>
    <w:rsid w:val="0052247A"/>
    <w:rsid w:val="0052499E"/>
    <w:rsid w:val="00536217"/>
    <w:rsid w:val="00563C55"/>
    <w:rsid w:val="00587E9A"/>
    <w:rsid w:val="005B40FF"/>
    <w:rsid w:val="005D7646"/>
    <w:rsid w:val="005E29CE"/>
    <w:rsid w:val="005F6E78"/>
    <w:rsid w:val="006010DC"/>
    <w:rsid w:val="00655093"/>
    <w:rsid w:val="006B7949"/>
    <w:rsid w:val="006C3395"/>
    <w:rsid w:val="007017A2"/>
    <w:rsid w:val="00717E07"/>
    <w:rsid w:val="00723E49"/>
    <w:rsid w:val="0072694B"/>
    <w:rsid w:val="007278A2"/>
    <w:rsid w:val="007B3644"/>
    <w:rsid w:val="007D2709"/>
    <w:rsid w:val="007D4435"/>
    <w:rsid w:val="007E3259"/>
    <w:rsid w:val="00805012"/>
    <w:rsid w:val="008137CB"/>
    <w:rsid w:val="0081733D"/>
    <w:rsid w:val="00862C30"/>
    <w:rsid w:val="008658AF"/>
    <w:rsid w:val="008C2D7A"/>
    <w:rsid w:val="008F19D9"/>
    <w:rsid w:val="0090451E"/>
    <w:rsid w:val="009271F9"/>
    <w:rsid w:val="00937563"/>
    <w:rsid w:val="0095001B"/>
    <w:rsid w:val="009564B0"/>
    <w:rsid w:val="00974357"/>
    <w:rsid w:val="00984FD5"/>
    <w:rsid w:val="00990013"/>
    <w:rsid w:val="009E2D8B"/>
    <w:rsid w:val="009E3CA5"/>
    <w:rsid w:val="009F7E01"/>
    <w:rsid w:val="00A04D58"/>
    <w:rsid w:val="00A850DC"/>
    <w:rsid w:val="00AC0136"/>
    <w:rsid w:val="00AC5F3D"/>
    <w:rsid w:val="00AD6DC1"/>
    <w:rsid w:val="00AF69A1"/>
    <w:rsid w:val="00B45A2F"/>
    <w:rsid w:val="00B5290F"/>
    <w:rsid w:val="00B853BE"/>
    <w:rsid w:val="00B93300"/>
    <w:rsid w:val="00B94D05"/>
    <w:rsid w:val="00B95DB8"/>
    <w:rsid w:val="00C12412"/>
    <w:rsid w:val="00C42CE8"/>
    <w:rsid w:val="00C87486"/>
    <w:rsid w:val="00CB2A05"/>
    <w:rsid w:val="00CB5110"/>
    <w:rsid w:val="00CB7C1C"/>
    <w:rsid w:val="00CE0FE6"/>
    <w:rsid w:val="00CF2596"/>
    <w:rsid w:val="00CF776B"/>
    <w:rsid w:val="00D02056"/>
    <w:rsid w:val="00D236E7"/>
    <w:rsid w:val="00D87C9E"/>
    <w:rsid w:val="00D87E7D"/>
    <w:rsid w:val="00DA7C2D"/>
    <w:rsid w:val="00DC62D1"/>
    <w:rsid w:val="00DE7726"/>
    <w:rsid w:val="00DF384F"/>
    <w:rsid w:val="00E11841"/>
    <w:rsid w:val="00E1532A"/>
    <w:rsid w:val="00E157FE"/>
    <w:rsid w:val="00E17993"/>
    <w:rsid w:val="00E43FFE"/>
    <w:rsid w:val="00E72575"/>
    <w:rsid w:val="00E746A3"/>
    <w:rsid w:val="00EB0670"/>
    <w:rsid w:val="00EB771F"/>
    <w:rsid w:val="00EE7F2E"/>
    <w:rsid w:val="00F21BA9"/>
    <w:rsid w:val="00F6576D"/>
    <w:rsid w:val="00F97ECF"/>
    <w:rsid w:val="00FB5864"/>
    <w:rsid w:val="00FD12A8"/>
    <w:rsid w:val="00FF76AD"/>
    <w:rsid w:val="7B55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6089C"/>
  <w15:docId w15:val="{E04A912D-8211-4854-8F37-1D84C7EB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4368</Words>
  <Characters>24898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ThienIT</cp:lastModifiedBy>
  <cp:revision>4</cp:revision>
  <cp:lastPrinted>2021-02-23T08:08:00Z</cp:lastPrinted>
  <dcterms:created xsi:type="dcterms:W3CDTF">2021-07-30T06:11:00Z</dcterms:created>
  <dcterms:modified xsi:type="dcterms:W3CDTF">2021-07-31T13:00:00Z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